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7C" w:rsidRDefault="0073659E" w:rsidP="0073659E">
      <w:pPr>
        <w:keepNext/>
        <w:spacing w:after="0" w:line="240" w:lineRule="auto"/>
        <w:ind w:right="-360"/>
        <w:jc w:val="center"/>
        <w:outlineLvl w:val="0"/>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1621576"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369" cy="1166918"/>
                    </a:xfrm>
                    <a:prstGeom prst="rect">
                      <a:avLst/>
                    </a:prstGeom>
                  </pic:spPr>
                </pic:pic>
              </a:graphicData>
            </a:graphic>
          </wp:inline>
        </w:drawing>
      </w:r>
    </w:p>
    <w:p w:rsidR="00DE0BD3" w:rsidRDefault="00DE0BD3" w:rsidP="0073659E">
      <w:pPr>
        <w:keepNext/>
        <w:spacing w:after="0" w:line="240" w:lineRule="auto"/>
        <w:ind w:right="-360"/>
        <w:jc w:val="center"/>
        <w:outlineLvl w:val="0"/>
        <w:rPr>
          <w:rFonts w:ascii="Times New Roman" w:eastAsia="Times New Roman" w:hAnsi="Times New Roman"/>
          <w:b/>
          <w:sz w:val="24"/>
          <w:szCs w:val="24"/>
        </w:rPr>
      </w:pPr>
    </w:p>
    <w:p w:rsidR="00DE0BD3" w:rsidRPr="00CF7757" w:rsidRDefault="00CF7757" w:rsidP="00CF7757">
      <w:pPr>
        <w:keepNext/>
        <w:spacing w:after="0" w:line="240" w:lineRule="auto"/>
        <w:ind w:right="-360"/>
        <w:outlineLvl w:val="0"/>
        <w:rPr>
          <w:rFonts w:ascii="Times New Roman" w:eastAsia="Times New Roman" w:hAnsi="Times New Roman"/>
          <w:b/>
          <w:sz w:val="24"/>
          <w:szCs w:val="24"/>
        </w:rPr>
      </w:pPr>
      <w:r w:rsidRPr="00CF7757">
        <w:rPr>
          <w:rFonts w:ascii="Times New Roman" w:eastAsia="Times New Roman" w:hAnsi="Times New Roman"/>
          <w:b/>
          <w:sz w:val="24"/>
          <w:szCs w:val="24"/>
        </w:rPr>
        <w:t>To:</w:t>
      </w:r>
      <w:r w:rsidRPr="00CF7757">
        <w:rPr>
          <w:rFonts w:ascii="Times New Roman" w:eastAsia="Times New Roman" w:hAnsi="Times New Roman"/>
          <w:b/>
          <w:sz w:val="24"/>
          <w:szCs w:val="24"/>
        </w:rPr>
        <w:tab/>
        <w:t>Art Ward</w:t>
      </w:r>
      <w:r w:rsidR="00B5007A">
        <w:rPr>
          <w:rFonts w:ascii="Times New Roman" w:eastAsia="Times New Roman" w:hAnsi="Times New Roman"/>
          <w:b/>
          <w:sz w:val="24"/>
          <w:szCs w:val="24"/>
        </w:rPr>
        <w:t>, Mayor, City of Bristol</w:t>
      </w:r>
      <w:bookmarkStart w:id="0" w:name="_GoBack"/>
      <w:bookmarkEnd w:id="0"/>
    </w:p>
    <w:p w:rsidR="00CF7757" w:rsidRPr="00CF7757" w:rsidRDefault="00CF7757" w:rsidP="00CF7757">
      <w:pPr>
        <w:keepNext/>
        <w:spacing w:after="0" w:line="240" w:lineRule="auto"/>
        <w:ind w:right="-360"/>
        <w:outlineLvl w:val="0"/>
        <w:rPr>
          <w:rFonts w:ascii="Times New Roman" w:eastAsia="Times New Roman" w:hAnsi="Times New Roman"/>
          <w:b/>
          <w:sz w:val="24"/>
          <w:szCs w:val="24"/>
        </w:rPr>
      </w:pPr>
    </w:p>
    <w:p w:rsidR="00CF7757" w:rsidRPr="00CF7757" w:rsidRDefault="00CF7757" w:rsidP="00CF7757">
      <w:pPr>
        <w:keepNext/>
        <w:spacing w:after="0" w:line="240" w:lineRule="auto"/>
        <w:ind w:right="-360"/>
        <w:outlineLvl w:val="0"/>
        <w:rPr>
          <w:rFonts w:ascii="Times New Roman" w:eastAsia="Times New Roman" w:hAnsi="Times New Roman"/>
          <w:b/>
          <w:sz w:val="24"/>
          <w:szCs w:val="24"/>
        </w:rPr>
      </w:pPr>
      <w:r w:rsidRPr="00CF7757">
        <w:rPr>
          <w:rFonts w:ascii="Times New Roman" w:eastAsia="Times New Roman" w:hAnsi="Times New Roman"/>
          <w:b/>
          <w:sz w:val="24"/>
          <w:szCs w:val="24"/>
        </w:rPr>
        <w:t>From:</w:t>
      </w:r>
      <w:r w:rsidRPr="00CF7757">
        <w:rPr>
          <w:rFonts w:ascii="Times New Roman" w:eastAsia="Times New Roman" w:hAnsi="Times New Roman"/>
          <w:b/>
          <w:sz w:val="24"/>
          <w:szCs w:val="24"/>
        </w:rPr>
        <w:tab/>
        <w:t>Betsy Gara</w:t>
      </w:r>
      <w:r w:rsidR="00B5007A">
        <w:rPr>
          <w:rFonts w:ascii="Times New Roman" w:eastAsia="Times New Roman" w:hAnsi="Times New Roman"/>
          <w:b/>
          <w:sz w:val="24"/>
          <w:szCs w:val="24"/>
        </w:rPr>
        <w:t>, Executive Direct, COST</w:t>
      </w:r>
    </w:p>
    <w:p w:rsidR="00CF7757" w:rsidRPr="00CF7757" w:rsidRDefault="00CF7757" w:rsidP="00CF7757">
      <w:pPr>
        <w:keepNext/>
        <w:spacing w:after="0" w:line="240" w:lineRule="auto"/>
        <w:ind w:right="-360"/>
        <w:outlineLvl w:val="0"/>
        <w:rPr>
          <w:rFonts w:ascii="Times New Roman" w:eastAsia="Times New Roman" w:hAnsi="Times New Roman"/>
          <w:b/>
          <w:sz w:val="24"/>
          <w:szCs w:val="24"/>
        </w:rPr>
      </w:pPr>
    </w:p>
    <w:p w:rsidR="00CF7757" w:rsidRPr="00CF7757" w:rsidRDefault="00CF7757" w:rsidP="00CF7757">
      <w:pPr>
        <w:keepNext/>
        <w:spacing w:after="0" w:line="240" w:lineRule="auto"/>
        <w:ind w:right="-360"/>
        <w:outlineLvl w:val="0"/>
        <w:rPr>
          <w:rFonts w:ascii="Times New Roman" w:eastAsia="Times New Roman" w:hAnsi="Times New Roman"/>
          <w:b/>
          <w:sz w:val="24"/>
          <w:szCs w:val="24"/>
        </w:rPr>
      </w:pPr>
      <w:r w:rsidRPr="00CF7757">
        <w:rPr>
          <w:rFonts w:ascii="Times New Roman" w:eastAsia="Times New Roman" w:hAnsi="Times New Roman"/>
          <w:b/>
          <w:sz w:val="24"/>
          <w:szCs w:val="24"/>
        </w:rPr>
        <w:t>Date:</w:t>
      </w:r>
      <w:r w:rsidRPr="00CF7757">
        <w:rPr>
          <w:rFonts w:ascii="Times New Roman" w:eastAsia="Times New Roman" w:hAnsi="Times New Roman"/>
          <w:b/>
          <w:sz w:val="24"/>
          <w:szCs w:val="24"/>
        </w:rPr>
        <w:tab/>
        <w:t>April 3, 2013</w:t>
      </w:r>
    </w:p>
    <w:p w:rsidR="00CF7757" w:rsidRPr="00CF7757" w:rsidRDefault="00CF7757" w:rsidP="00CF7757">
      <w:pPr>
        <w:keepNext/>
        <w:spacing w:after="0" w:line="240" w:lineRule="auto"/>
        <w:ind w:right="-360"/>
        <w:outlineLvl w:val="0"/>
        <w:rPr>
          <w:rFonts w:ascii="Times New Roman" w:eastAsia="Times New Roman" w:hAnsi="Times New Roman"/>
          <w:b/>
          <w:sz w:val="24"/>
          <w:szCs w:val="24"/>
        </w:rPr>
      </w:pPr>
    </w:p>
    <w:p w:rsidR="00DE0BD3" w:rsidRPr="00CF7757" w:rsidRDefault="00CF7757" w:rsidP="00CF7757">
      <w:pPr>
        <w:keepNext/>
        <w:spacing w:after="0" w:line="240" w:lineRule="auto"/>
        <w:ind w:right="-360"/>
        <w:outlineLvl w:val="0"/>
        <w:rPr>
          <w:rFonts w:ascii="Times New Roman" w:eastAsia="Times New Roman" w:hAnsi="Times New Roman"/>
          <w:b/>
          <w:sz w:val="24"/>
          <w:szCs w:val="24"/>
        </w:rPr>
      </w:pPr>
      <w:r w:rsidRPr="00CF7757">
        <w:rPr>
          <w:rFonts w:ascii="Times New Roman" w:eastAsia="Times New Roman" w:hAnsi="Times New Roman"/>
          <w:b/>
          <w:sz w:val="24"/>
          <w:szCs w:val="24"/>
        </w:rPr>
        <w:t xml:space="preserve">Re: </w:t>
      </w:r>
      <w:r w:rsidRPr="00CF7757">
        <w:rPr>
          <w:rFonts w:ascii="Times New Roman" w:eastAsia="Times New Roman" w:hAnsi="Times New Roman"/>
          <w:b/>
          <w:sz w:val="24"/>
          <w:szCs w:val="24"/>
        </w:rPr>
        <w:tab/>
      </w:r>
      <w:r w:rsidR="00DE0BD3" w:rsidRPr="00CF7757">
        <w:rPr>
          <w:rFonts w:ascii="Times New Roman" w:eastAsia="Times New Roman" w:hAnsi="Times New Roman"/>
          <w:b/>
          <w:sz w:val="24"/>
          <w:szCs w:val="24"/>
        </w:rPr>
        <w:t>Mandate on Delinquent Sewer, Water and Property Tax Bills</w:t>
      </w:r>
    </w:p>
    <w:p w:rsidR="00DE0BD3" w:rsidRDefault="00DE0BD3" w:rsidP="003646F9">
      <w:pPr>
        <w:keepNext/>
        <w:spacing w:after="0" w:line="240" w:lineRule="auto"/>
        <w:ind w:right="-360"/>
        <w:jc w:val="center"/>
        <w:outlineLvl w:val="0"/>
        <w:rPr>
          <w:rFonts w:ascii="Times New Roman" w:eastAsia="Times New Roman" w:hAnsi="Times New Roman"/>
          <w:b/>
          <w:sz w:val="24"/>
          <w:szCs w:val="24"/>
        </w:rPr>
      </w:pPr>
    </w:p>
    <w:p w:rsidR="00DE0BD3" w:rsidRDefault="004D454F" w:rsidP="00873C19">
      <w:pPr>
        <w:spacing w:after="0" w:line="240" w:lineRule="auto"/>
        <w:ind w:right="-360"/>
        <w:rPr>
          <w:rFonts w:ascii="Times New Roman" w:eastAsia="Times New Roman" w:hAnsi="Times New Roman"/>
          <w:sz w:val="24"/>
          <w:szCs w:val="24"/>
        </w:rPr>
      </w:pPr>
      <w:r>
        <w:rPr>
          <w:rFonts w:ascii="Times New Roman" w:eastAsia="Times New Roman" w:hAnsi="Times New Roman"/>
          <w:sz w:val="24"/>
          <w:szCs w:val="24"/>
        </w:rPr>
        <w:t xml:space="preserve">A mandate adopted during the June 2012 Special Session is imposing considerable burdens on municipal water, sewer and tax departments by requiring a </w:t>
      </w:r>
      <w:r w:rsidR="00D22961">
        <w:rPr>
          <w:rFonts w:ascii="Times New Roman" w:eastAsia="Times New Roman" w:hAnsi="Times New Roman"/>
          <w:sz w:val="24"/>
          <w:szCs w:val="24"/>
        </w:rPr>
        <w:t>“Notice of Community-Based Resources Form”</w:t>
      </w:r>
      <w:r>
        <w:rPr>
          <w:rFonts w:ascii="Times New Roman" w:eastAsia="Times New Roman" w:hAnsi="Times New Roman"/>
          <w:sz w:val="24"/>
          <w:szCs w:val="24"/>
        </w:rPr>
        <w:t xml:space="preserve"> developed by the judicial branch to be attached to each and every statement issued to residents regarding delinquent public sewer, water and property tax bills.  The form </w:t>
      </w:r>
      <w:r>
        <w:rPr>
          <w:rFonts w:ascii="Times New Roman" w:eastAsia="Times New Roman" w:hAnsi="Times New Roman"/>
          <w:sz w:val="24"/>
          <w:szCs w:val="24"/>
        </w:rPr>
        <w:t xml:space="preserve">directs </w:t>
      </w:r>
      <w:r w:rsidR="00D22961">
        <w:rPr>
          <w:rFonts w:ascii="Times New Roman" w:eastAsia="Times New Roman" w:hAnsi="Times New Roman"/>
          <w:sz w:val="24"/>
          <w:szCs w:val="24"/>
        </w:rPr>
        <w:t>property owners</w:t>
      </w:r>
      <w:r>
        <w:rPr>
          <w:rFonts w:ascii="Times New Roman" w:eastAsia="Times New Roman" w:hAnsi="Times New Roman"/>
          <w:sz w:val="24"/>
          <w:szCs w:val="24"/>
        </w:rPr>
        <w:t xml:space="preserve"> to </w:t>
      </w:r>
      <w:r>
        <w:rPr>
          <w:rFonts w:ascii="Times New Roman" w:eastAsia="Times New Roman" w:hAnsi="Times New Roman"/>
          <w:sz w:val="24"/>
          <w:szCs w:val="24"/>
        </w:rPr>
        <w:t>community-based counseling and resources</w:t>
      </w:r>
      <w:r>
        <w:rPr>
          <w:rFonts w:ascii="Times New Roman" w:eastAsia="Times New Roman" w:hAnsi="Times New Roman"/>
          <w:sz w:val="24"/>
          <w:szCs w:val="24"/>
        </w:rPr>
        <w:t xml:space="preserve">.  </w:t>
      </w:r>
      <w:r w:rsidR="00D22961">
        <w:rPr>
          <w:rFonts w:ascii="Times New Roman" w:eastAsia="Times New Roman" w:hAnsi="Times New Roman"/>
          <w:sz w:val="24"/>
          <w:szCs w:val="24"/>
        </w:rPr>
        <w:t>P</w:t>
      </w:r>
      <w:r w:rsidR="00D22961" w:rsidRPr="005C0EFD">
        <w:rPr>
          <w:rFonts w:ascii="Times New Roman" w:eastAsia="Times New Roman" w:hAnsi="Times New Roman"/>
          <w:sz w:val="24"/>
          <w:szCs w:val="24"/>
        </w:rPr>
        <w:t xml:space="preserve">roperty owners receiving the notices are understandably confused regarding the applicability of the notice to their situation, necessitating numerous calls to tax collectors and other municipal staff.  </w:t>
      </w:r>
      <w:r>
        <w:rPr>
          <w:rFonts w:ascii="Times New Roman" w:eastAsia="Times New Roman" w:hAnsi="Times New Roman"/>
          <w:sz w:val="24"/>
          <w:szCs w:val="24"/>
        </w:rPr>
        <w:t xml:space="preserve">In addition, some municipal departments have indicated that they must hand sort the notices to determine which ones the form must be attached to because their billing systems process regular and delinquent bills </w:t>
      </w:r>
      <w:r w:rsidR="00D22961">
        <w:rPr>
          <w:rFonts w:ascii="Times New Roman" w:eastAsia="Times New Roman" w:hAnsi="Times New Roman"/>
          <w:sz w:val="24"/>
          <w:szCs w:val="24"/>
        </w:rPr>
        <w:t>in one batch</w:t>
      </w:r>
      <w:r>
        <w:rPr>
          <w:rFonts w:ascii="Times New Roman" w:eastAsia="Times New Roman" w:hAnsi="Times New Roman"/>
          <w:sz w:val="24"/>
          <w:szCs w:val="24"/>
        </w:rPr>
        <w:t xml:space="preserve">.  </w:t>
      </w:r>
    </w:p>
    <w:p w:rsidR="004D454F" w:rsidRDefault="004D454F" w:rsidP="00873C19">
      <w:pPr>
        <w:spacing w:after="0" w:line="240" w:lineRule="auto"/>
        <w:ind w:right="-360"/>
        <w:rPr>
          <w:rFonts w:ascii="Times New Roman" w:eastAsia="Times New Roman" w:hAnsi="Times New Roman"/>
          <w:sz w:val="24"/>
          <w:szCs w:val="24"/>
        </w:rPr>
      </w:pPr>
    </w:p>
    <w:p w:rsidR="0073659E" w:rsidRDefault="00CF7757" w:rsidP="00873C19">
      <w:pPr>
        <w:spacing w:after="0" w:line="240" w:lineRule="auto"/>
        <w:ind w:right="-360"/>
        <w:rPr>
          <w:rFonts w:ascii="Times New Roman" w:eastAsia="Times New Roman" w:hAnsi="Times New Roman"/>
          <w:sz w:val="24"/>
          <w:szCs w:val="24"/>
        </w:rPr>
      </w:pPr>
      <w:r>
        <w:rPr>
          <w:rFonts w:ascii="Times New Roman" w:eastAsia="Times New Roman" w:hAnsi="Times New Roman"/>
          <w:sz w:val="24"/>
          <w:szCs w:val="24"/>
        </w:rPr>
        <w:t xml:space="preserve">Originally, this provision was included in SB-360, An Act Implementing the Recommendations of the Connecticut Housing Finance Authority Task Force. The bill was aimed at making changes to the Emergency Mortgage Assistance Program, including promoting greater distribution of the Judicial Branch form directing homeowners to community-based counseling and resources. The bill died on the House calendar.  </w:t>
      </w:r>
    </w:p>
    <w:p w:rsidR="00CF7757" w:rsidRDefault="00CF7757" w:rsidP="00873C19">
      <w:pPr>
        <w:spacing w:after="0" w:line="240" w:lineRule="auto"/>
        <w:ind w:right="-360"/>
        <w:rPr>
          <w:rFonts w:ascii="Times New Roman" w:eastAsia="Times New Roman" w:hAnsi="Times New Roman"/>
          <w:sz w:val="24"/>
          <w:szCs w:val="24"/>
        </w:rPr>
      </w:pPr>
    </w:p>
    <w:p w:rsidR="00CF7757" w:rsidRDefault="00CF7757" w:rsidP="00873C19">
      <w:pPr>
        <w:spacing w:after="0" w:line="240" w:lineRule="auto"/>
        <w:ind w:right="-360"/>
        <w:rPr>
          <w:rFonts w:ascii="Times New Roman" w:eastAsia="Times New Roman" w:hAnsi="Times New Roman"/>
          <w:sz w:val="24"/>
          <w:szCs w:val="24"/>
        </w:rPr>
      </w:pPr>
      <w:r>
        <w:rPr>
          <w:rFonts w:ascii="Times New Roman" w:eastAsia="Times New Roman" w:hAnsi="Times New Roman"/>
          <w:sz w:val="24"/>
          <w:szCs w:val="24"/>
        </w:rPr>
        <w:t>Certain provisions were included in a budget implementer bill adopted during the June special session, including Section 129 of Public Act 12-1, as follows:</w:t>
      </w:r>
    </w:p>
    <w:p w:rsidR="00CF7757" w:rsidRDefault="00CF7757" w:rsidP="00873C19">
      <w:pPr>
        <w:spacing w:after="0" w:line="240" w:lineRule="auto"/>
        <w:ind w:right="-360"/>
        <w:rPr>
          <w:rFonts w:ascii="Times New Roman" w:eastAsia="Times New Roman" w:hAnsi="Times New Roman"/>
          <w:sz w:val="24"/>
          <w:szCs w:val="24"/>
        </w:rPr>
      </w:pPr>
    </w:p>
    <w:p w:rsidR="00CF7757" w:rsidRPr="00CF7757" w:rsidRDefault="00CF7757" w:rsidP="004D454F">
      <w:pPr>
        <w:spacing w:after="0" w:line="240" w:lineRule="auto"/>
        <w:ind w:left="720" w:right="720"/>
        <w:rPr>
          <w:rFonts w:ascii="Times New Roman" w:eastAsia="Times New Roman" w:hAnsi="Times New Roman"/>
          <w:sz w:val="24"/>
          <w:szCs w:val="24"/>
        </w:rPr>
      </w:pPr>
      <w:proofErr w:type="gramStart"/>
      <w:r w:rsidRPr="00CF7757">
        <w:rPr>
          <w:rFonts w:ascii="Times New Roman" w:eastAsia="Times New Roman" w:hAnsi="Times New Roman"/>
          <w:sz w:val="24"/>
          <w:szCs w:val="24"/>
        </w:rPr>
        <w:t>Sec. 129.</w:t>
      </w:r>
      <w:proofErr w:type="gramEnd"/>
      <w:r w:rsidRPr="00CF7757">
        <w:rPr>
          <w:rFonts w:ascii="Times New Roman" w:eastAsia="Times New Roman" w:hAnsi="Times New Roman"/>
          <w:sz w:val="24"/>
          <w:szCs w:val="24"/>
        </w:rPr>
        <w:t xml:space="preserve"> (NEW) (</w:t>
      </w:r>
      <w:r w:rsidRPr="00CF7757">
        <w:rPr>
          <w:rFonts w:ascii="Times New Roman" w:eastAsia="Times New Roman" w:hAnsi="Times New Roman"/>
          <w:i/>
          <w:iCs/>
          <w:sz w:val="24"/>
          <w:szCs w:val="24"/>
        </w:rPr>
        <w:t>Effective October 1, 2012</w:t>
      </w:r>
      <w:r w:rsidRPr="00CF7757">
        <w:rPr>
          <w:rFonts w:ascii="Times New Roman" w:eastAsia="Times New Roman" w:hAnsi="Times New Roman"/>
          <w:sz w:val="24"/>
          <w:szCs w:val="24"/>
        </w:rPr>
        <w:t>) (a) A mortgagee, as defined in section 49-8a of the general statutes, shall include the form promulgated by the judicial branch, in accordance with subdivision (3) of subsection (c) of section 49-31</w:t>
      </w:r>
      <w:r w:rsidRPr="00CF7757">
        <w:rPr>
          <w:rFonts w:ascii="Times New Roman" w:eastAsia="Times New Roman" w:hAnsi="Times New Roman"/>
          <w:i/>
          <w:iCs/>
          <w:sz w:val="24"/>
          <w:szCs w:val="24"/>
        </w:rPr>
        <w:t>l</w:t>
      </w:r>
      <w:r w:rsidRPr="00CF7757">
        <w:rPr>
          <w:rFonts w:ascii="Times New Roman" w:eastAsia="Times New Roman" w:hAnsi="Times New Roman"/>
          <w:sz w:val="24"/>
          <w:szCs w:val="24"/>
        </w:rPr>
        <w:t xml:space="preserve"> of the general statutes, concerning notice of community-based resources to parties involved in foreclosure mediation with any notice to a mortgagor, as defined in said section 49-8a, of an intent to accelerate the mortgage loan. </w:t>
      </w:r>
    </w:p>
    <w:p w:rsidR="00CF7757" w:rsidRPr="004D454F" w:rsidRDefault="00CF7757" w:rsidP="004D454F">
      <w:pPr>
        <w:spacing w:after="0" w:line="240" w:lineRule="auto"/>
        <w:ind w:left="720" w:right="720"/>
        <w:rPr>
          <w:rFonts w:ascii="Times New Roman" w:eastAsia="Times New Roman" w:hAnsi="Times New Roman"/>
          <w:b/>
          <w:sz w:val="24"/>
          <w:szCs w:val="24"/>
        </w:rPr>
      </w:pPr>
      <w:r w:rsidRPr="004D454F">
        <w:rPr>
          <w:rFonts w:ascii="Times New Roman" w:eastAsia="Times New Roman" w:hAnsi="Times New Roman"/>
          <w:b/>
          <w:sz w:val="24"/>
          <w:szCs w:val="24"/>
        </w:rPr>
        <w:t xml:space="preserve">(b) A municipality shall include such form with any statements sent to a homeowner regarding an arrearage owed by the homeowner for public sewer or water services or for property taxes. </w:t>
      </w:r>
    </w:p>
    <w:p w:rsidR="00CF7757" w:rsidRPr="00CF7757" w:rsidRDefault="00CF7757" w:rsidP="004D454F">
      <w:pPr>
        <w:spacing w:after="0" w:line="240" w:lineRule="auto"/>
        <w:ind w:left="720" w:right="720"/>
        <w:rPr>
          <w:rFonts w:ascii="Times New Roman" w:eastAsia="Times New Roman" w:hAnsi="Times New Roman"/>
          <w:sz w:val="24"/>
          <w:szCs w:val="24"/>
        </w:rPr>
      </w:pPr>
      <w:r w:rsidRPr="00CF7757">
        <w:rPr>
          <w:rFonts w:ascii="Times New Roman" w:eastAsia="Times New Roman" w:hAnsi="Times New Roman"/>
          <w:sz w:val="24"/>
          <w:szCs w:val="24"/>
        </w:rPr>
        <w:t xml:space="preserve">(c) The judicial branch shall provide such form to parties involved in foreclosure mediation to public libraries, religious organizations and community-based programs throughout this state to ensure that such form is readily available to mortgagors. </w:t>
      </w:r>
    </w:p>
    <w:p w:rsidR="00CF7757" w:rsidRPr="00CF7757" w:rsidRDefault="00CF7757" w:rsidP="004D454F">
      <w:pPr>
        <w:spacing w:after="0" w:line="240" w:lineRule="auto"/>
        <w:ind w:left="720" w:right="720"/>
        <w:rPr>
          <w:rFonts w:ascii="Times New Roman" w:eastAsia="Times New Roman" w:hAnsi="Times New Roman"/>
          <w:sz w:val="24"/>
          <w:szCs w:val="24"/>
        </w:rPr>
      </w:pPr>
      <w:r w:rsidRPr="00CF7757">
        <w:rPr>
          <w:rFonts w:ascii="Times New Roman" w:eastAsia="Times New Roman" w:hAnsi="Times New Roman"/>
          <w:sz w:val="24"/>
          <w:szCs w:val="24"/>
        </w:rPr>
        <w:t xml:space="preserve">(d) Such form shall include the following: </w:t>
      </w:r>
    </w:p>
    <w:p w:rsidR="00CF7757" w:rsidRPr="00CF7757" w:rsidRDefault="00CF7757" w:rsidP="004D454F">
      <w:pPr>
        <w:spacing w:after="0" w:line="240" w:lineRule="auto"/>
        <w:ind w:left="720" w:right="720"/>
        <w:rPr>
          <w:rFonts w:ascii="Times New Roman" w:eastAsia="Times New Roman" w:hAnsi="Times New Roman"/>
          <w:sz w:val="24"/>
          <w:szCs w:val="24"/>
        </w:rPr>
      </w:pPr>
      <w:r w:rsidRPr="00CF7757">
        <w:rPr>
          <w:rFonts w:ascii="Times New Roman" w:eastAsia="Times New Roman" w:hAnsi="Times New Roman"/>
          <w:sz w:val="24"/>
          <w:szCs w:val="24"/>
        </w:rPr>
        <w:t xml:space="preserve">(1) A reference to CHFA/HUD-Approved Housing Counselors in lieu of a reference to CHFA-Approved Housing Counselors; </w:t>
      </w:r>
    </w:p>
    <w:p w:rsidR="00CF7757" w:rsidRPr="00CF7757" w:rsidRDefault="00CF7757" w:rsidP="004D454F">
      <w:pPr>
        <w:spacing w:after="0" w:line="240" w:lineRule="auto"/>
        <w:ind w:left="720" w:right="720"/>
        <w:rPr>
          <w:rFonts w:ascii="Times New Roman" w:eastAsia="Times New Roman" w:hAnsi="Times New Roman"/>
          <w:sz w:val="24"/>
          <w:szCs w:val="24"/>
        </w:rPr>
      </w:pPr>
      <w:r w:rsidRPr="00CF7757">
        <w:rPr>
          <w:rFonts w:ascii="Times New Roman" w:eastAsia="Times New Roman" w:hAnsi="Times New Roman"/>
          <w:sz w:val="24"/>
          <w:szCs w:val="24"/>
        </w:rPr>
        <w:lastRenderedPageBreak/>
        <w:t>(2) A column in the approved housing counselor chart that includes the counties in which each housing counselor serves; and</w:t>
      </w:r>
    </w:p>
    <w:p w:rsidR="00CF7757" w:rsidRDefault="00CF7757" w:rsidP="004D454F">
      <w:pPr>
        <w:spacing w:after="0" w:line="240" w:lineRule="auto"/>
        <w:ind w:left="720" w:right="720"/>
        <w:rPr>
          <w:rFonts w:ascii="Times New Roman" w:eastAsia="Times New Roman" w:hAnsi="Times New Roman"/>
          <w:sz w:val="24"/>
          <w:szCs w:val="24"/>
        </w:rPr>
      </w:pPr>
      <w:r w:rsidRPr="00CF7757">
        <w:rPr>
          <w:rFonts w:ascii="Times New Roman" w:eastAsia="Times New Roman" w:hAnsi="Times New Roman"/>
          <w:sz w:val="24"/>
          <w:szCs w:val="24"/>
        </w:rPr>
        <w:t xml:space="preserve">(3) A notification to mortgagors who are currently parties to a foreclosure action that they should contact the Department of Banking's foreclosure assistance hotline for assistance with time sensitive foreclosure concerns. </w:t>
      </w:r>
      <w:r w:rsidR="00D22961" w:rsidRPr="00D22961">
        <w:rPr>
          <w:rFonts w:ascii="Times New Roman" w:eastAsia="Times New Roman" w:hAnsi="Times New Roman"/>
          <w:i/>
          <w:sz w:val="24"/>
          <w:szCs w:val="24"/>
        </w:rPr>
        <w:t>(</w:t>
      </w:r>
      <w:proofErr w:type="gramStart"/>
      <w:r w:rsidR="00D22961" w:rsidRPr="00D22961">
        <w:rPr>
          <w:rFonts w:ascii="Times New Roman" w:eastAsia="Times New Roman" w:hAnsi="Times New Roman"/>
          <w:i/>
          <w:sz w:val="24"/>
          <w:szCs w:val="24"/>
        </w:rPr>
        <w:t>emphasis</w:t>
      </w:r>
      <w:proofErr w:type="gramEnd"/>
      <w:r w:rsidR="00D22961" w:rsidRPr="00D22961">
        <w:rPr>
          <w:rFonts w:ascii="Times New Roman" w:eastAsia="Times New Roman" w:hAnsi="Times New Roman"/>
          <w:i/>
          <w:sz w:val="24"/>
          <w:szCs w:val="24"/>
        </w:rPr>
        <w:t xml:space="preserve"> added)</w:t>
      </w:r>
    </w:p>
    <w:p w:rsidR="00D22961" w:rsidRPr="00CF7757" w:rsidRDefault="00D22961" w:rsidP="004D454F">
      <w:pPr>
        <w:spacing w:after="0" w:line="240" w:lineRule="auto"/>
        <w:ind w:left="720" w:right="720"/>
        <w:rPr>
          <w:rFonts w:ascii="Times New Roman" w:eastAsia="Times New Roman" w:hAnsi="Times New Roman"/>
          <w:sz w:val="24"/>
          <w:szCs w:val="24"/>
        </w:rPr>
      </w:pPr>
    </w:p>
    <w:p w:rsidR="00D84F0C" w:rsidRDefault="00D22961" w:rsidP="00873C19">
      <w:pPr>
        <w:spacing w:after="0" w:line="240" w:lineRule="auto"/>
        <w:ind w:right="-360"/>
        <w:rPr>
          <w:rFonts w:ascii="Times New Roman" w:eastAsia="Times New Roman" w:hAnsi="Times New Roman"/>
          <w:sz w:val="24"/>
          <w:szCs w:val="24"/>
        </w:rPr>
      </w:pPr>
      <w:r>
        <w:rPr>
          <w:rFonts w:ascii="Times New Roman" w:eastAsia="Times New Roman" w:hAnsi="Times New Roman"/>
          <w:sz w:val="24"/>
          <w:szCs w:val="24"/>
        </w:rPr>
        <w:t xml:space="preserve">Under the Act, the </w:t>
      </w:r>
      <w:r w:rsidR="00D84F0C" w:rsidRPr="005C0EFD">
        <w:rPr>
          <w:rFonts w:ascii="Times New Roman" w:eastAsia="Times New Roman" w:hAnsi="Times New Roman"/>
          <w:sz w:val="24"/>
          <w:szCs w:val="24"/>
        </w:rPr>
        <w:t xml:space="preserve">form </w:t>
      </w:r>
      <w:r>
        <w:rPr>
          <w:rFonts w:ascii="Times New Roman" w:eastAsia="Times New Roman" w:hAnsi="Times New Roman"/>
          <w:sz w:val="24"/>
          <w:szCs w:val="24"/>
        </w:rPr>
        <w:t xml:space="preserve">must </w:t>
      </w:r>
      <w:r w:rsidR="00D84F0C" w:rsidRPr="005C0EFD">
        <w:rPr>
          <w:rFonts w:ascii="Times New Roman" w:eastAsia="Times New Roman" w:hAnsi="Times New Roman"/>
          <w:sz w:val="24"/>
          <w:szCs w:val="24"/>
        </w:rPr>
        <w:t xml:space="preserve">include: 1) </w:t>
      </w:r>
      <w:r w:rsidR="0073659E" w:rsidRPr="005C0EFD">
        <w:rPr>
          <w:rFonts w:ascii="Times New Roman" w:eastAsia="Times New Roman" w:hAnsi="Times New Roman"/>
          <w:sz w:val="24"/>
          <w:szCs w:val="24"/>
        </w:rPr>
        <w:t xml:space="preserve">a </w:t>
      </w:r>
      <w:r w:rsidR="00D84F0C" w:rsidRPr="005C0EFD">
        <w:rPr>
          <w:rFonts w:ascii="Times New Roman" w:eastAsia="Times New Roman" w:hAnsi="Times New Roman"/>
          <w:sz w:val="24"/>
          <w:szCs w:val="24"/>
        </w:rPr>
        <w:t xml:space="preserve">reference to both CHFA and Housing and Urban Development-approved counselors, 2) </w:t>
      </w:r>
      <w:r w:rsidR="0073659E" w:rsidRPr="005C0EFD">
        <w:rPr>
          <w:rFonts w:ascii="Times New Roman" w:eastAsia="Times New Roman" w:hAnsi="Times New Roman"/>
          <w:sz w:val="24"/>
          <w:szCs w:val="24"/>
        </w:rPr>
        <w:t xml:space="preserve">a </w:t>
      </w:r>
      <w:r w:rsidR="00D84F0C" w:rsidRPr="005C0EFD">
        <w:rPr>
          <w:rFonts w:ascii="Times New Roman" w:eastAsia="Times New Roman" w:hAnsi="Times New Roman"/>
          <w:sz w:val="24"/>
          <w:szCs w:val="24"/>
        </w:rPr>
        <w:t xml:space="preserve">column in the approved housing counselor chart that includes the counties in which each counselor serves, and 3) </w:t>
      </w:r>
      <w:r w:rsidR="0073659E" w:rsidRPr="005C0EFD">
        <w:rPr>
          <w:rFonts w:ascii="Times New Roman" w:eastAsia="Times New Roman" w:hAnsi="Times New Roman"/>
          <w:sz w:val="24"/>
          <w:szCs w:val="24"/>
        </w:rPr>
        <w:t xml:space="preserve">a </w:t>
      </w:r>
      <w:r w:rsidR="00D84F0C" w:rsidRPr="005C0EFD">
        <w:rPr>
          <w:rFonts w:ascii="Times New Roman" w:eastAsia="Times New Roman" w:hAnsi="Times New Roman"/>
          <w:sz w:val="24"/>
          <w:szCs w:val="24"/>
        </w:rPr>
        <w:t xml:space="preserve">notification to mortgagors currently in foreclosure that they should contact the Department of Banking's foreclosure assistance hotline for assistance with time sensitive foreclosure concerns. </w:t>
      </w:r>
    </w:p>
    <w:p w:rsidR="00D22961" w:rsidRDefault="00D22961" w:rsidP="00873C19">
      <w:pPr>
        <w:spacing w:after="0" w:line="240" w:lineRule="auto"/>
        <w:ind w:right="-360"/>
        <w:rPr>
          <w:rFonts w:ascii="Times New Roman" w:eastAsia="Times New Roman" w:hAnsi="Times New Roman"/>
          <w:sz w:val="24"/>
          <w:szCs w:val="24"/>
        </w:rPr>
      </w:pPr>
    </w:p>
    <w:p w:rsidR="00D22961" w:rsidRPr="005C0EFD" w:rsidRDefault="00D22961" w:rsidP="00873C19">
      <w:pPr>
        <w:spacing w:after="0" w:line="240" w:lineRule="auto"/>
        <w:ind w:right="-360"/>
        <w:rPr>
          <w:rFonts w:ascii="Times New Roman" w:eastAsia="Times New Roman" w:hAnsi="Times New Roman"/>
          <w:sz w:val="24"/>
          <w:szCs w:val="24"/>
        </w:rPr>
      </w:pPr>
      <w:r>
        <w:rPr>
          <w:rFonts w:ascii="Times New Roman" w:eastAsia="Times New Roman" w:hAnsi="Times New Roman"/>
          <w:sz w:val="24"/>
          <w:szCs w:val="24"/>
        </w:rPr>
        <w:t xml:space="preserve">Also attached is testimony on a related bill this session urging repeal. </w:t>
      </w:r>
    </w:p>
    <w:p w:rsidR="00D84F0C" w:rsidRPr="005C0EFD" w:rsidRDefault="00D84F0C" w:rsidP="00873C19">
      <w:pPr>
        <w:spacing w:after="0" w:line="240" w:lineRule="auto"/>
        <w:ind w:right="-360"/>
        <w:rPr>
          <w:rFonts w:ascii="Times New Roman" w:eastAsia="Times New Roman" w:hAnsi="Times New Roman"/>
          <w:sz w:val="24"/>
          <w:szCs w:val="24"/>
        </w:rPr>
      </w:pPr>
    </w:p>
    <w:p w:rsidR="003646F9" w:rsidRPr="005C0EFD" w:rsidRDefault="0073659E" w:rsidP="0073659E">
      <w:pPr>
        <w:spacing w:after="0" w:line="240" w:lineRule="auto"/>
        <w:ind w:right="-360"/>
        <w:rPr>
          <w:rFonts w:ascii="Times New Roman" w:eastAsia="Times New Roman" w:hAnsi="Times New Roman"/>
          <w:sz w:val="24"/>
          <w:szCs w:val="24"/>
        </w:rPr>
      </w:pPr>
      <w:r w:rsidRPr="005C0EFD">
        <w:rPr>
          <w:rFonts w:ascii="Times New Roman" w:eastAsia="Times New Roman" w:hAnsi="Times New Roman"/>
          <w:b/>
          <w:sz w:val="24"/>
          <w:szCs w:val="24"/>
        </w:rPr>
        <w:t xml:space="preserve">COST urges lawmakers to repeal </w:t>
      </w:r>
      <w:r w:rsidR="00D22961">
        <w:rPr>
          <w:rFonts w:ascii="Times New Roman" w:eastAsia="Times New Roman" w:hAnsi="Times New Roman"/>
          <w:b/>
          <w:sz w:val="24"/>
          <w:szCs w:val="24"/>
        </w:rPr>
        <w:t>Section 129(b) of Public Act 12-1</w:t>
      </w:r>
      <w:r w:rsidRPr="005C0EFD">
        <w:rPr>
          <w:rFonts w:ascii="Times New Roman" w:eastAsia="Times New Roman" w:hAnsi="Times New Roman"/>
          <w:sz w:val="24"/>
          <w:szCs w:val="24"/>
        </w:rPr>
        <w:t xml:space="preserve"> which is </w:t>
      </w:r>
      <w:r w:rsidR="00D22961">
        <w:rPr>
          <w:rFonts w:ascii="Times New Roman" w:eastAsia="Times New Roman" w:hAnsi="Times New Roman"/>
          <w:sz w:val="24"/>
          <w:szCs w:val="24"/>
        </w:rPr>
        <w:t xml:space="preserve">an unfunded mandate that is </w:t>
      </w:r>
      <w:r w:rsidRPr="005C0EFD">
        <w:rPr>
          <w:rFonts w:ascii="Times New Roman" w:eastAsia="Times New Roman" w:hAnsi="Times New Roman"/>
          <w:sz w:val="24"/>
          <w:szCs w:val="24"/>
        </w:rPr>
        <w:t xml:space="preserve">cumbersome </w:t>
      </w:r>
      <w:r w:rsidR="00D22961">
        <w:rPr>
          <w:rFonts w:ascii="Times New Roman" w:eastAsia="Times New Roman" w:hAnsi="Times New Roman"/>
          <w:sz w:val="24"/>
          <w:szCs w:val="24"/>
        </w:rPr>
        <w:t xml:space="preserve">to administer </w:t>
      </w:r>
      <w:r w:rsidRPr="005C0EFD">
        <w:rPr>
          <w:rFonts w:ascii="Times New Roman" w:eastAsia="Times New Roman" w:hAnsi="Times New Roman"/>
          <w:sz w:val="24"/>
          <w:szCs w:val="24"/>
        </w:rPr>
        <w:t>and confusing to our property taxpayers</w:t>
      </w:r>
      <w:r w:rsidR="00D22961">
        <w:rPr>
          <w:rFonts w:ascii="Times New Roman" w:eastAsia="Times New Roman" w:hAnsi="Times New Roman"/>
          <w:sz w:val="24"/>
          <w:szCs w:val="24"/>
        </w:rPr>
        <w:t xml:space="preserve">. </w:t>
      </w:r>
      <w:r w:rsidRPr="005C0EFD">
        <w:rPr>
          <w:rFonts w:ascii="Times New Roman" w:eastAsia="Times New Roman" w:hAnsi="Times New Roman"/>
          <w:sz w:val="24"/>
          <w:szCs w:val="24"/>
        </w:rPr>
        <w:t xml:space="preserve"> </w:t>
      </w:r>
    </w:p>
    <w:p w:rsidR="00873C19" w:rsidRPr="005C0EFD" w:rsidRDefault="00873C19" w:rsidP="00873C19">
      <w:pPr>
        <w:spacing w:after="0" w:line="240" w:lineRule="auto"/>
        <w:rPr>
          <w:rFonts w:ascii="Times New Roman" w:eastAsia="Times New Roman" w:hAnsi="Times New Roman"/>
          <w:i/>
          <w:sz w:val="24"/>
          <w:szCs w:val="24"/>
        </w:rPr>
      </w:pPr>
    </w:p>
    <w:p w:rsidR="005C0EFD" w:rsidRPr="005C0EFD" w:rsidRDefault="005C0EFD" w:rsidP="005C0EFD">
      <w:pPr>
        <w:spacing w:after="0" w:line="240" w:lineRule="auto"/>
        <w:rPr>
          <w:rFonts w:ascii="Times New Roman" w:eastAsia="Times New Roman" w:hAnsi="Times New Roman"/>
          <w:i/>
          <w:sz w:val="24"/>
          <w:szCs w:val="24"/>
        </w:rPr>
      </w:pPr>
      <w:r w:rsidRPr="005C0EFD">
        <w:rPr>
          <w:rFonts w:ascii="Times New Roman" w:eastAsia="Times New Roman" w:hAnsi="Times New Roman"/>
          <w:i/>
          <w:sz w:val="24"/>
          <w:szCs w:val="24"/>
        </w:rPr>
        <w:t>COST is an advocacy organization committed to giving small towns a strong voice in the legislative process. Its members are Connecticut towns with populations of less than 30,000. COST champions the major policy needs and concerns of Connecticut’s suburban and rural towns.</w:t>
      </w:r>
    </w:p>
    <w:p w:rsidR="005C0EFD" w:rsidRPr="005C0EFD" w:rsidRDefault="005C0EFD" w:rsidP="005C0EFD">
      <w:pPr>
        <w:spacing w:after="0" w:line="240" w:lineRule="auto"/>
        <w:rPr>
          <w:rFonts w:ascii="Times New Roman" w:eastAsia="Times New Roman" w:hAnsi="Times New Roman"/>
          <w:i/>
          <w:sz w:val="24"/>
          <w:szCs w:val="24"/>
        </w:rPr>
      </w:pPr>
    </w:p>
    <w:p w:rsidR="005C0EFD" w:rsidRPr="005C0EFD" w:rsidRDefault="005C0EFD" w:rsidP="005C0EFD">
      <w:pPr>
        <w:spacing w:after="0" w:line="240" w:lineRule="auto"/>
        <w:rPr>
          <w:rFonts w:ascii="Times New Roman" w:eastAsia="Times New Roman" w:hAnsi="Times New Roman"/>
          <w:sz w:val="24"/>
          <w:szCs w:val="24"/>
        </w:rPr>
      </w:pPr>
    </w:p>
    <w:p w:rsidR="00873C19" w:rsidRDefault="004518E7" w:rsidP="00AC465E">
      <w:pPr>
        <w:spacing w:after="0" w:line="240" w:lineRule="auto"/>
      </w:pPr>
      <w:r>
        <w:rPr>
          <w:noProof/>
        </w:rPr>
        <w:lastRenderedPageBreak/>
        <w:drawing>
          <wp:inline distT="0" distB="0" distL="0" distR="0">
            <wp:extent cx="6667500" cy="862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8629650"/>
                    </a:xfrm>
                    <a:prstGeom prst="rect">
                      <a:avLst/>
                    </a:prstGeom>
                    <a:noFill/>
                    <a:ln>
                      <a:noFill/>
                    </a:ln>
                  </pic:spPr>
                </pic:pic>
              </a:graphicData>
            </a:graphic>
          </wp:inline>
        </w:drawing>
      </w:r>
    </w:p>
    <w:p w:rsidR="00873C19" w:rsidRDefault="00873C19" w:rsidP="003646F9">
      <w:pPr>
        <w:spacing w:after="0" w:line="240" w:lineRule="auto"/>
        <w:jc w:val="center"/>
      </w:pPr>
    </w:p>
    <w:p w:rsidR="00873C19" w:rsidRDefault="00873C19" w:rsidP="003646F9">
      <w:pPr>
        <w:spacing w:after="0" w:line="240" w:lineRule="auto"/>
        <w:jc w:val="center"/>
      </w:pPr>
    </w:p>
    <w:p w:rsidR="00873C19" w:rsidRDefault="00873C19" w:rsidP="003646F9">
      <w:pPr>
        <w:spacing w:after="0" w:line="240" w:lineRule="auto"/>
        <w:jc w:val="center"/>
      </w:pPr>
    </w:p>
    <w:p w:rsidR="00873C19" w:rsidRDefault="004518E7" w:rsidP="003646F9">
      <w:pPr>
        <w:spacing w:after="0" w:line="240" w:lineRule="auto"/>
        <w:jc w:val="center"/>
        <w:rPr>
          <w:sz w:val="20"/>
          <w:szCs w:val="20"/>
        </w:rPr>
      </w:pPr>
      <w:r>
        <w:rPr>
          <w:noProof/>
        </w:rPr>
        <w:drawing>
          <wp:inline distT="0" distB="0" distL="0" distR="0">
            <wp:extent cx="6619875" cy="857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8572500"/>
                    </a:xfrm>
                    <a:prstGeom prst="rect">
                      <a:avLst/>
                    </a:prstGeom>
                    <a:noFill/>
                    <a:ln>
                      <a:noFill/>
                    </a:ln>
                  </pic:spPr>
                </pic:pic>
              </a:graphicData>
            </a:graphic>
          </wp:inline>
        </w:drawing>
      </w:r>
    </w:p>
    <w:p w:rsidR="00D22961" w:rsidRDefault="00D22961" w:rsidP="003646F9">
      <w:pPr>
        <w:spacing w:after="0" w:line="240" w:lineRule="auto"/>
        <w:jc w:val="center"/>
        <w:rPr>
          <w:sz w:val="20"/>
          <w:szCs w:val="20"/>
        </w:rPr>
      </w:pPr>
    </w:p>
    <w:p w:rsidR="00D22961" w:rsidRDefault="00D22961" w:rsidP="003646F9">
      <w:pPr>
        <w:spacing w:after="0" w:line="240" w:lineRule="auto"/>
        <w:jc w:val="center"/>
        <w:rPr>
          <w:sz w:val="20"/>
          <w:szCs w:val="20"/>
        </w:rPr>
      </w:pPr>
    </w:p>
    <w:p w:rsidR="00D22961" w:rsidRDefault="00D22961" w:rsidP="003646F9">
      <w:pPr>
        <w:spacing w:after="0" w:line="240" w:lineRule="auto"/>
        <w:jc w:val="center"/>
        <w:rPr>
          <w:sz w:val="20"/>
          <w:szCs w:val="20"/>
        </w:rPr>
      </w:pPr>
    </w:p>
    <w:p w:rsidR="00D22961" w:rsidRDefault="00D22961" w:rsidP="003646F9">
      <w:pPr>
        <w:spacing w:after="0" w:line="240" w:lineRule="auto"/>
        <w:jc w:val="center"/>
        <w:rPr>
          <w:sz w:val="20"/>
          <w:szCs w:val="20"/>
        </w:rPr>
      </w:pPr>
    </w:p>
    <w:p w:rsidR="00D22961" w:rsidRPr="007312B7" w:rsidRDefault="00D22961" w:rsidP="00D22961">
      <w:pPr>
        <w:spacing w:after="0" w:line="240" w:lineRule="auto"/>
        <w:ind w:right="-360"/>
        <w:rPr>
          <w:rFonts w:ascii="Times New Roman" w:eastAsia="Times New Roman" w:hAnsi="Times New Roman"/>
          <w:b/>
          <w:i/>
          <w:sz w:val="40"/>
          <w:szCs w:val="40"/>
        </w:rPr>
      </w:pPr>
      <w:r w:rsidRPr="007312B7">
        <w:rPr>
          <w:rFonts w:ascii="Times New Roman" w:eastAsia="Times New Roman" w:hAnsi="Times New Roman"/>
          <w:b/>
          <w:i/>
          <w:sz w:val="40"/>
          <w:szCs w:val="40"/>
        </w:rPr>
        <w:t>Town of Manchester</w:t>
      </w:r>
    </w:p>
    <w:p w:rsidR="00D22961" w:rsidRPr="007312B7" w:rsidRDefault="00D22961" w:rsidP="00D22961">
      <w:pPr>
        <w:spacing w:after="0" w:line="240" w:lineRule="auto"/>
        <w:ind w:right="-360"/>
        <w:rPr>
          <w:rFonts w:ascii="Times New Roman" w:eastAsia="Times New Roman" w:hAnsi="Times New Roman"/>
          <w:b/>
          <w:i/>
          <w:sz w:val="40"/>
          <w:szCs w:val="40"/>
        </w:rPr>
      </w:pPr>
      <w:r w:rsidRPr="007312B7">
        <w:rPr>
          <w:rFonts w:ascii="Times New Roman" w:eastAsia="Times New Roman" w:hAnsi="Times New Roman"/>
          <w:b/>
          <w:i/>
          <w:sz w:val="40"/>
          <w:szCs w:val="40"/>
        </w:rPr>
        <w:t>Water and Sewer Department</w:t>
      </w:r>
    </w:p>
    <w:p w:rsidR="00D22961" w:rsidRPr="007312B7" w:rsidRDefault="00D22961" w:rsidP="00D22961">
      <w:pPr>
        <w:spacing w:after="0" w:line="240" w:lineRule="auto"/>
        <w:ind w:right="-360"/>
        <w:rPr>
          <w:rFonts w:ascii="Times New Roman" w:eastAsia="Times New Roman" w:hAnsi="Times New Roman"/>
          <w:sz w:val="32"/>
          <w:szCs w:val="32"/>
        </w:rPr>
      </w:pPr>
    </w:p>
    <w:p w:rsidR="00D22961" w:rsidRPr="007312B7" w:rsidRDefault="00D22961" w:rsidP="00D22961">
      <w:pPr>
        <w:pBdr>
          <w:bottom w:val="single" w:sz="4" w:space="1" w:color="auto"/>
        </w:pBdr>
        <w:spacing w:after="0" w:line="240" w:lineRule="auto"/>
        <w:ind w:right="-360"/>
        <w:rPr>
          <w:rFonts w:ascii="Arial Black" w:eastAsia="Times New Roman" w:hAnsi="Arial Black"/>
          <w:sz w:val="32"/>
          <w:szCs w:val="32"/>
        </w:rPr>
      </w:pPr>
      <w:r w:rsidRPr="007312B7">
        <w:rPr>
          <w:rFonts w:ascii="Arial Black" w:eastAsia="Times New Roman" w:hAnsi="Arial Black"/>
          <w:sz w:val="32"/>
          <w:szCs w:val="32"/>
        </w:rPr>
        <w:t>Memorandum</w:t>
      </w:r>
    </w:p>
    <w:p w:rsidR="00D22961" w:rsidRDefault="00D22961" w:rsidP="00D22961">
      <w:pPr>
        <w:spacing w:after="0" w:line="240" w:lineRule="auto"/>
        <w:ind w:right="-360"/>
        <w:rPr>
          <w:rFonts w:ascii="Times New Roman" w:eastAsia="Times New Roman" w:hAnsi="Times New Roman"/>
        </w:rPr>
      </w:pPr>
    </w:p>
    <w:p w:rsidR="00D22961" w:rsidRDefault="00D22961" w:rsidP="00D22961">
      <w:pPr>
        <w:spacing w:after="0" w:line="240" w:lineRule="auto"/>
        <w:ind w:right="-360"/>
        <w:rPr>
          <w:rFonts w:ascii="Times New Roman" w:eastAsia="Times New Roman" w:hAnsi="Times New Roman"/>
          <w:sz w:val="24"/>
          <w:szCs w:val="24"/>
        </w:rPr>
      </w:pPr>
    </w:p>
    <w:p w:rsidR="00D22961" w:rsidRDefault="00D22961" w:rsidP="00D22961">
      <w:pPr>
        <w:spacing w:after="0" w:line="240" w:lineRule="auto"/>
        <w:ind w:right="-360"/>
        <w:rPr>
          <w:rFonts w:ascii="Times New Roman" w:eastAsia="Times New Roman" w:hAnsi="Times New Roman"/>
          <w:sz w:val="24"/>
          <w:szCs w:val="24"/>
        </w:rPr>
      </w:pPr>
    </w:p>
    <w:p w:rsidR="00D22961" w:rsidRDefault="00D22961" w:rsidP="00D22961">
      <w:pPr>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r>
      <w:r>
        <w:rPr>
          <w:rFonts w:ascii="Times New Roman" w:eastAsia="Times New Roman" w:hAnsi="Times New Roman"/>
          <w:sz w:val="24"/>
          <w:szCs w:val="24"/>
        </w:rPr>
        <w:tab/>
        <w:t>March 18, 2013</w:t>
      </w:r>
    </w:p>
    <w:p w:rsidR="00D22961" w:rsidRDefault="00D22961" w:rsidP="00D22961">
      <w:pPr>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TO:</w:t>
      </w:r>
      <w:r>
        <w:rPr>
          <w:rFonts w:ascii="Times New Roman" w:eastAsia="Times New Roman" w:hAnsi="Times New Roman"/>
          <w:sz w:val="24"/>
          <w:szCs w:val="24"/>
        </w:rPr>
        <w:tab/>
        <w:t xml:space="preserve"> </w:t>
      </w:r>
      <w:r>
        <w:rPr>
          <w:rFonts w:ascii="Times New Roman" w:eastAsia="Times New Roman" w:hAnsi="Times New Roman"/>
          <w:sz w:val="24"/>
          <w:szCs w:val="24"/>
        </w:rPr>
        <w:tab/>
        <w:t>Planning &amp; Development Committee</w:t>
      </w:r>
    </w:p>
    <w:p w:rsidR="00D22961" w:rsidRPr="004E0B27" w:rsidRDefault="00D22961" w:rsidP="00D22961">
      <w:pPr>
        <w:spacing w:after="0" w:line="360" w:lineRule="auto"/>
        <w:ind w:right="-360"/>
        <w:rPr>
          <w:rFonts w:ascii="Times New Roman" w:eastAsia="Times New Roman" w:hAnsi="Times New Roman"/>
          <w:sz w:val="24"/>
          <w:szCs w:val="24"/>
        </w:rPr>
      </w:pPr>
      <w:r>
        <w:rPr>
          <w:rFonts w:ascii="Times New Roman" w:eastAsia="Times New Roman" w:hAnsi="Times New Roman"/>
          <w:sz w:val="24"/>
          <w:szCs w:val="24"/>
        </w:rPr>
        <w:t>FROM:</w:t>
      </w:r>
      <w:r>
        <w:rPr>
          <w:rFonts w:ascii="Times New Roman" w:eastAsia="Times New Roman" w:hAnsi="Times New Roman"/>
          <w:sz w:val="24"/>
          <w:szCs w:val="24"/>
        </w:rPr>
        <w:tab/>
      </w:r>
      <w:r w:rsidRPr="004E0B27">
        <w:rPr>
          <w:rFonts w:ascii="Times New Roman" w:eastAsia="Times New Roman" w:hAnsi="Times New Roman"/>
          <w:sz w:val="24"/>
          <w:szCs w:val="24"/>
        </w:rPr>
        <w:t xml:space="preserve">Edward </w:t>
      </w:r>
      <w:r>
        <w:rPr>
          <w:rFonts w:ascii="Times New Roman" w:eastAsia="Times New Roman" w:hAnsi="Times New Roman"/>
          <w:sz w:val="24"/>
          <w:szCs w:val="24"/>
        </w:rPr>
        <w:t xml:space="preserve">J. </w:t>
      </w:r>
      <w:proofErr w:type="spellStart"/>
      <w:r w:rsidRPr="004E0B27">
        <w:rPr>
          <w:rFonts w:ascii="Times New Roman" w:eastAsia="Times New Roman" w:hAnsi="Times New Roman"/>
          <w:sz w:val="24"/>
          <w:szCs w:val="24"/>
        </w:rPr>
        <w:t>Soper</w:t>
      </w:r>
      <w:proofErr w:type="spellEnd"/>
      <w:r>
        <w:rPr>
          <w:rFonts w:ascii="Times New Roman" w:eastAsia="Times New Roman" w:hAnsi="Times New Roman"/>
          <w:sz w:val="24"/>
          <w:szCs w:val="24"/>
        </w:rPr>
        <w:t>, Administrator</w:t>
      </w:r>
    </w:p>
    <w:p w:rsidR="00D22961" w:rsidRPr="004E0B27" w:rsidRDefault="00D22961" w:rsidP="00D22961">
      <w:pPr>
        <w:spacing w:after="0" w:line="360" w:lineRule="auto"/>
        <w:ind w:right="-360"/>
        <w:rPr>
          <w:rFonts w:ascii="Times New Roman" w:eastAsia="Times New Roman" w:hAnsi="Times New Roman"/>
          <w:b/>
          <w:sz w:val="24"/>
          <w:szCs w:val="24"/>
        </w:rPr>
      </w:pPr>
      <w:r w:rsidRPr="004E0B27">
        <w:rPr>
          <w:rFonts w:ascii="Times New Roman" w:eastAsia="Times New Roman" w:hAnsi="Times New Roman"/>
          <w:b/>
          <w:sz w:val="24"/>
          <w:szCs w:val="24"/>
        </w:rPr>
        <w:t>R</w:t>
      </w:r>
      <w:r>
        <w:rPr>
          <w:rFonts w:ascii="Times New Roman" w:eastAsia="Times New Roman" w:hAnsi="Times New Roman"/>
          <w:b/>
          <w:sz w:val="24"/>
          <w:szCs w:val="24"/>
        </w:rPr>
        <w:t>E</w:t>
      </w:r>
      <w:r w:rsidRPr="004E0B27">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b/>
          <w:sz w:val="24"/>
          <w:szCs w:val="24"/>
        </w:rPr>
        <w:tab/>
      </w:r>
      <w:r w:rsidRPr="004E0B27">
        <w:rPr>
          <w:rFonts w:ascii="Times New Roman" w:eastAsia="Times New Roman" w:hAnsi="Times New Roman"/>
          <w:b/>
          <w:sz w:val="24"/>
          <w:szCs w:val="24"/>
        </w:rPr>
        <w:t xml:space="preserve"> </w:t>
      </w:r>
      <w:r>
        <w:rPr>
          <w:rFonts w:ascii="Times New Roman" w:eastAsia="Times New Roman" w:hAnsi="Times New Roman"/>
          <w:b/>
          <w:sz w:val="24"/>
          <w:szCs w:val="24"/>
        </w:rPr>
        <w:t>SB-1113</w:t>
      </w:r>
      <w:r w:rsidRPr="004E0B27">
        <w:rPr>
          <w:rFonts w:ascii="Times New Roman" w:eastAsia="Times New Roman" w:hAnsi="Times New Roman"/>
          <w:b/>
          <w:sz w:val="24"/>
          <w:szCs w:val="24"/>
        </w:rPr>
        <w:t xml:space="preserve">, </w:t>
      </w:r>
      <w:proofErr w:type="gramStart"/>
      <w:r w:rsidRPr="004E0B27">
        <w:rPr>
          <w:rFonts w:ascii="Times New Roman" w:eastAsia="Times New Roman" w:hAnsi="Times New Roman"/>
          <w:b/>
          <w:sz w:val="24"/>
          <w:szCs w:val="24"/>
        </w:rPr>
        <w:t>An</w:t>
      </w:r>
      <w:proofErr w:type="gramEnd"/>
      <w:r w:rsidRPr="004E0B27">
        <w:rPr>
          <w:rFonts w:ascii="Times New Roman" w:eastAsia="Times New Roman" w:hAnsi="Times New Roman"/>
          <w:b/>
          <w:sz w:val="24"/>
          <w:szCs w:val="24"/>
        </w:rPr>
        <w:t xml:space="preserve"> Act </w:t>
      </w:r>
      <w:r>
        <w:rPr>
          <w:rFonts w:ascii="Times New Roman" w:eastAsia="Times New Roman" w:hAnsi="Times New Roman"/>
          <w:b/>
          <w:sz w:val="24"/>
          <w:szCs w:val="24"/>
        </w:rPr>
        <w:t>Eliminating Certain Municipal Mandates</w:t>
      </w:r>
    </w:p>
    <w:p w:rsidR="00D22961" w:rsidRPr="004E0B27" w:rsidRDefault="00D22961" w:rsidP="00D22961">
      <w:pPr>
        <w:spacing w:after="0" w:line="240" w:lineRule="auto"/>
        <w:ind w:right="-360"/>
        <w:rPr>
          <w:rFonts w:ascii="Times New Roman" w:eastAsia="Times New Roman" w:hAnsi="Times New Roman"/>
          <w:sz w:val="24"/>
          <w:szCs w:val="24"/>
        </w:rPr>
      </w:pPr>
    </w:p>
    <w:p w:rsidR="00D22961" w:rsidRPr="004E0B27" w:rsidRDefault="00D22961" w:rsidP="00D22961">
      <w:pPr>
        <w:spacing w:after="0" w:line="240" w:lineRule="auto"/>
        <w:ind w:right="-360"/>
        <w:rPr>
          <w:rFonts w:ascii="Times New Roman" w:eastAsia="Times New Roman" w:hAnsi="Times New Roman"/>
          <w:sz w:val="24"/>
          <w:szCs w:val="24"/>
        </w:rPr>
      </w:pPr>
      <w:r w:rsidRPr="004E0B27">
        <w:rPr>
          <w:rFonts w:ascii="Times New Roman" w:eastAsia="Times New Roman" w:hAnsi="Times New Roman"/>
          <w:sz w:val="24"/>
          <w:szCs w:val="24"/>
        </w:rPr>
        <w:t>Manchester Water &amp; Sewer Department respectfully requests your assistance in addressing concerns regarding a</w:t>
      </w:r>
      <w:r>
        <w:rPr>
          <w:rFonts w:ascii="Times New Roman" w:eastAsia="Times New Roman" w:hAnsi="Times New Roman"/>
          <w:sz w:val="24"/>
          <w:szCs w:val="24"/>
        </w:rPr>
        <w:t xml:space="preserve"> new mandate imposes on municipalities </w:t>
      </w:r>
      <w:r w:rsidRPr="004E0B27">
        <w:rPr>
          <w:rFonts w:ascii="Times New Roman" w:eastAsia="Times New Roman" w:hAnsi="Times New Roman"/>
          <w:sz w:val="24"/>
          <w:szCs w:val="24"/>
        </w:rPr>
        <w:t xml:space="preserve">last session.  The new law has the unintended consequence of requiring water and sewer departments to attach a two-page legal notice to any statement or bill indicating that a property owner is in arrears in payment. </w:t>
      </w:r>
    </w:p>
    <w:p w:rsidR="00D22961" w:rsidRPr="004E0B27" w:rsidRDefault="00D22961" w:rsidP="00D22961">
      <w:pPr>
        <w:spacing w:after="0" w:line="240" w:lineRule="auto"/>
        <w:ind w:right="-360"/>
        <w:rPr>
          <w:rFonts w:ascii="Times New Roman" w:eastAsia="Times New Roman" w:hAnsi="Times New Roman"/>
          <w:sz w:val="24"/>
          <w:szCs w:val="24"/>
        </w:rPr>
      </w:pPr>
    </w:p>
    <w:p w:rsidR="00D22961" w:rsidRPr="004E0B27" w:rsidRDefault="00D22961" w:rsidP="00D22961">
      <w:pPr>
        <w:spacing w:after="0" w:line="240" w:lineRule="auto"/>
        <w:ind w:right="-360"/>
        <w:rPr>
          <w:rFonts w:ascii="Times New Roman" w:eastAsia="Times New Roman" w:hAnsi="Times New Roman"/>
          <w:sz w:val="24"/>
          <w:szCs w:val="24"/>
        </w:rPr>
      </w:pPr>
      <w:r w:rsidRPr="004E0B27">
        <w:rPr>
          <w:rFonts w:ascii="Times New Roman" w:eastAsia="Times New Roman" w:hAnsi="Times New Roman"/>
          <w:sz w:val="24"/>
          <w:szCs w:val="24"/>
        </w:rPr>
        <w:t xml:space="preserve">In addition to adding to the cost and burden of issuing delinquent notices, the new law is causing some distress with customers who receive the notice.  The notice appears to indicate that the property owner is at risk of foreclosure or some other legal action and is understandably confusing. </w:t>
      </w:r>
    </w:p>
    <w:p w:rsidR="00D22961" w:rsidRPr="004E0B27" w:rsidRDefault="00D22961" w:rsidP="00D22961">
      <w:pPr>
        <w:spacing w:after="0" w:line="240" w:lineRule="auto"/>
        <w:ind w:right="-360"/>
        <w:rPr>
          <w:rFonts w:ascii="Times New Roman" w:eastAsia="Times New Roman" w:hAnsi="Times New Roman"/>
          <w:sz w:val="24"/>
          <w:szCs w:val="24"/>
        </w:rPr>
      </w:pPr>
    </w:p>
    <w:p w:rsidR="00D22961" w:rsidRPr="004E0B27" w:rsidRDefault="00D22961" w:rsidP="00D22961">
      <w:pPr>
        <w:spacing w:after="0" w:line="240" w:lineRule="auto"/>
        <w:ind w:right="-360"/>
        <w:rPr>
          <w:rFonts w:ascii="Times New Roman" w:eastAsia="Times New Roman" w:hAnsi="Times New Roman"/>
          <w:sz w:val="24"/>
          <w:szCs w:val="24"/>
        </w:rPr>
      </w:pPr>
      <w:r w:rsidRPr="004E0B27">
        <w:rPr>
          <w:rFonts w:ascii="Times New Roman" w:eastAsia="Times New Roman" w:hAnsi="Times New Roman"/>
          <w:sz w:val="24"/>
          <w:szCs w:val="24"/>
        </w:rPr>
        <w:t xml:space="preserve">It is our understanding that this form is now required by Public Act 12-1.  It is unclear why this notice requirement was adopted in special session but it has created much confusion in municipal water and sewer departments. </w:t>
      </w:r>
    </w:p>
    <w:p w:rsidR="00D22961" w:rsidRPr="004E0B27" w:rsidRDefault="00D22961" w:rsidP="00D22961">
      <w:pPr>
        <w:spacing w:after="0" w:line="240" w:lineRule="auto"/>
        <w:ind w:right="-360"/>
        <w:rPr>
          <w:rFonts w:ascii="Times New Roman" w:eastAsia="Times New Roman" w:hAnsi="Times New Roman"/>
          <w:sz w:val="24"/>
          <w:szCs w:val="24"/>
        </w:rPr>
      </w:pPr>
    </w:p>
    <w:p w:rsidR="00D22961" w:rsidRPr="004E0B27" w:rsidRDefault="00D22961" w:rsidP="00D22961">
      <w:pPr>
        <w:spacing w:after="0" w:line="240" w:lineRule="auto"/>
        <w:ind w:right="-360"/>
        <w:rPr>
          <w:rFonts w:ascii="Times New Roman" w:eastAsia="Times New Roman" w:hAnsi="Times New Roman"/>
          <w:sz w:val="24"/>
          <w:szCs w:val="24"/>
        </w:rPr>
      </w:pPr>
      <w:r w:rsidRPr="004E0B27">
        <w:rPr>
          <w:rFonts w:ascii="Times New Roman" w:eastAsia="Times New Roman" w:hAnsi="Times New Roman"/>
          <w:sz w:val="24"/>
          <w:szCs w:val="24"/>
        </w:rPr>
        <w:t xml:space="preserve">We are asking that this law be repealed to address these concerns. </w:t>
      </w:r>
    </w:p>
    <w:p w:rsidR="00D22961" w:rsidRPr="004E0B27" w:rsidRDefault="00D22961" w:rsidP="00D22961">
      <w:pPr>
        <w:spacing w:after="0" w:line="240" w:lineRule="auto"/>
        <w:ind w:right="-360"/>
        <w:rPr>
          <w:rFonts w:ascii="Times New Roman" w:eastAsia="Times New Roman" w:hAnsi="Times New Roman"/>
          <w:sz w:val="24"/>
          <w:szCs w:val="24"/>
        </w:rPr>
      </w:pPr>
    </w:p>
    <w:p w:rsidR="00D22961" w:rsidRPr="004E0B27" w:rsidRDefault="00D22961" w:rsidP="00D22961">
      <w:pPr>
        <w:spacing w:after="0" w:line="240" w:lineRule="auto"/>
        <w:ind w:right="-360"/>
        <w:rPr>
          <w:rFonts w:ascii="Times New Roman" w:eastAsia="Times New Roman" w:hAnsi="Times New Roman"/>
          <w:sz w:val="24"/>
          <w:szCs w:val="24"/>
        </w:rPr>
      </w:pPr>
      <w:r w:rsidRPr="004E0B27">
        <w:rPr>
          <w:rFonts w:ascii="Times New Roman" w:eastAsia="Times New Roman" w:hAnsi="Times New Roman"/>
          <w:sz w:val="24"/>
          <w:szCs w:val="24"/>
        </w:rPr>
        <w:t xml:space="preserve">Thank you for the opportunity to comment.  </w:t>
      </w:r>
      <w:r>
        <w:rPr>
          <w:rFonts w:ascii="Times New Roman" w:eastAsia="Times New Roman" w:hAnsi="Times New Roman"/>
          <w:sz w:val="24"/>
          <w:szCs w:val="24"/>
        </w:rPr>
        <w:t>If you have any questions, please contact me at 860-647-3115.</w:t>
      </w:r>
    </w:p>
    <w:p w:rsidR="00D22961" w:rsidRPr="004E0B27" w:rsidRDefault="00D22961" w:rsidP="00D22961">
      <w:pPr>
        <w:rPr>
          <w:sz w:val="24"/>
          <w:szCs w:val="24"/>
        </w:rPr>
      </w:pPr>
    </w:p>
    <w:p w:rsidR="00D22961" w:rsidRDefault="00D22961"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Default="00B5007A" w:rsidP="003646F9">
      <w:pPr>
        <w:spacing w:after="0" w:line="240" w:lineRule="auto"/>
        <w:jc w:val="center"/>
        <w:rPr>
          <w:sz w:val="20"/>
          <w:szCs w:val="20"/>
        </w:rPr>
      </w:pPr>
    </w:p>
    <w:p w:rsidR="00B5007A" w:rsidRPr="00873C19" w:rsidRDefault="00B5007A" w:rsidP="003646F9">
      <w:pPr>
        <w:spacing w:after="0" w:line="240" w:lineRule="auto"/>
        <w:jc w:val="center"/>
        <w:rPr>
          <w:sz w:val="20"/>
          <w:szCs w:val="20"/>
        </w:rPr>
      </w:pPr>
      <w:r>
        <w:rPr>
          <w:noProof/>
          <w:sz w:val="20"/>
          <w:szCs w:val="20"/>
        </w:rPr>
        <w:drawing>
          <wp:inline distT="0" distB="0" distL="0" distR="0" wp14:anchorId="0ED7D66C" wp14:editId="09499939">
            <wp:extent cx="5942949" cy="8620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621070"/>
                    </a:xfrm>
                    <a:prstGeom prst="rect">
                      <a:avLst/>
                    </a:prstGeom>
                    <a:noFill/>
                    <a:ln>
                      <a:noFill/>
                    </a:ln>
                  </pic:spPr>
                </pic:pic>
              </a:graphicData>
            </a:graphic>
          </wp:inline>
        </w:drawing>
      </w:r>
    </w:p>
    <w:sectPr w:rsidR="00B5007A" w:rsidRPr="00873C19" w:rsidSect="00873C19">
      <w:headerReference w:type="default" r:id="rId12"/>
      <w:footerReference w:type="default" r:id="rId13"/>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C7" w:rsidRDefault="00B223C7" w:rsidP="003646F9">
      <w:pPr>
        <w:spacing w:after="0" w:line="240" w:lineRule="auto"/>
      </w:pPr>
      <w:r>
        <w:separator/>
      </w:r>
    </w:p>
  </w:endnote>
  <w:endnote w:type="continuationSeparator" w:id="0">
    <w:p w:rsidR="00B223C7" w:rsidRDefault="00B223C7" w:rsidP="0036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FD" w:rsidRPr="00DC5D5D" w:rsidRDefault="005C0EFD" w:rsidP="005C0EFD">
    <w:pPr>
      <w:tabs>
        <w:tab w:val="center" w:pos="4680"/>
        <w:tab w:val="right" w:pos="9360"/>
      </w:tabs>
      <w:spacing w:after="0" w:line="240" w:lineRule="auto"/>
      <w:jc w:val="center"/>
      <w:rPr>
        <w:rFonts w:ascii="Times" w:eastAsia="Times" w:hAnsi="Times"/>
        <w:sz w:val="20"/>
        <w:szCs w:val="20"/>
      </w:rPr>
    </w:pPr>
    <w:r w:rsidRPr="00DC5D5D">
      <w:rPr>
        <w:rFonts w:ascii="Times" w:eastAsia="Times" w:hAnsi="Times"/>
        <w:sz w:val="20"/>
        <w:szCs w:val="20"/>
      </w:rPr>
      <w:t>1245 Farmington Ave., 101</w:t>
    </w:r>
    <w:r w:rsidRPr="00DC5D5D">
      <w:rPr>
        <w:rFonts w:ascii="Times" w:eastAsia="Times" w:hAnsi="Times"/>
        <w:sz w:val="20"/>
        <w:szCs w:val="20"/>
      </w:rPr>
      <w:sym w:font="Wingdings" w:char="F073"/>
    </w:r>
    <w:r w:rsidRPr="00DC5D5D">
      <w:rPr>
        <w:rFonts w:ascii="Times" w:eastAsia="Times" w:hAnsi="Times"/>
        <w:sz w:val="20"/>
        <w:szCs w:val="20"/>
      </w:rPr>
      <w:t xml:space="preserve"> West Hartford, CT 06107 </w:t>
    </w:r>
    <w:r w:rsidRPr="00DC5D5D">
      <w:rPr>
        <w:rFonts w:ascii="Times" w:eastAsia="Times" w:hAnsi="Times"/>
        <w:sz w:val="20"/>
        <w:szCs w:val="20"/>
      </w:rPr>
      <w:sym w:font="Wingdings" w:char="F073"/>
    </w:r>
    <w:r w:rsidRPr="00DC5D5D">
      <w:rPr>
        <w:rFonts w:ascii="Times" w:eastAsia="Times" w:hAnsi="Times"/>
        <w:sz w:val="20"/>
        <w:szCs w:val="20"/>
      </w:rPr>
      <w:t xml:space="preserve"> Tel. 860-676-0770 </w:t>
    </w:r>
    <w:r w:rsidRPr="00DC5D5D">
      <w:rPr>
        <w:rFonts w:ascii="Times" w:eastAsia="Times" w:hAnsi="Times"/>
        <w:sz w:val="20"/>
        <w:szCs w:val="20"/>
      </w:rPr>
      <w:sym w:font="Wingdings" w:char="F073"/>
    </w:r>
    <w:r w:rsidRPr="00DC5D5D">
      <w:rPr>
        <w:rFonts w:ascii="Times" w:eastAsia="Times" w:hAnsi="Times"/>
        <w:sz w:val="20"/>
        <w:szCs w:val="20"/>
      </w:rPr>
      <w:t xml:space="preserve"> www.ctcost.org</w:t>
    </w:r>
  </w:p>
  <w:p w:rsidR="0008083A" w:rsidRDefault="00080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C7" w:rsidRDefault="00B223C7" w:rsidP="003646F9">
      <w:pPr>
        <w:spacing w:after="0" w:line="240" w:lineRule="auto"/>
      </w:pPr>
      <w:r>
        <w:separator/>
      </w:r>
    </w:p>
  </w:footnote>
  <w:footnote w:type="continuationSeparator" w:id="0">
    <w:p w:rsidR="00B223C7" w:rsidRDefault="00B223C7" w:rsidP="00364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3A" w:rsidRDefault="0008083A" w:rsidP="0008083A">
    <w:pPr>
      <w:ind w:right="-360"/>
      <w:rPr>
        <w:noProof/>
      </w:rPr>
    </w:pPr>
  </w:p>
  <w:p w:rsidR="00AC067C" w:rsidRPr="00AA31A8" w:rsidRDefault="00AC067C" w:rsidP="0008083A">
    <w:pPr>
      <w:ind w:right="-360"/>
      <w:rPr>
        <w:b/>
      </w:rPr>
    </w:pPr>
  </w:p>
  <w:p w:rsidR="0008083A" w:rsidRDefault="00080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65C"/>
    <w:multiLevelType w:val="hybridMultilevel"/>
    <w:tmpl w:val="833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87A16"/>
    <w:multiLevelType w:val="hybridMultilevel"/>
    <w:tmpl w:val="4A80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3444C"/>
    <w:multiLevelType w:val="hybridMultilevel"/>
    <w:tmpl w:val="3B800B8A"/>
    <w:lvl w:ilvl="0" w:tplc="EA22DF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F9"/>
    <w:rsid w:val="000342DB"/>
    <w:rsid w:val="00056F9F"/>
    <w:rsid w:val="0008083A"/>
    <w:rsid w:val="00093ABB"/>
    <w:rsid w:val="00310A07"/>
    <w:rsid w:val="003419D5"/>
    <w:rsid w:val="003646F9"/>
    <w:rsid w:val="00395965"/>
    <w:rsid w:val="003B455E"/>
    <w:rsid w:val="004518E7"/>
    <w:rsid w:val="004B0976"/>
    <w:rsid w:val="004D454F"/>
    <w:rsid w:val="005C0EFD"/>
    <w:rsid w:val="006F3CD8"/>
    <w:rsid w:val="0073659E"/>
    <w:rsid w:val="00744050"/>
    <w:rsid w:val="00785427"/>
    <w:rsid w:val="00873C19"/>
    <w:rsid w:val="009479C4"/>
    <w:rsid w:val="00AC067C"/>
    <w:rsid w:val="00AC1107"/>
    <w:rsid w:val="00AC465E"/>
    <w:rsid w:val="00AD45F7"/>
    <w:rsid w:val="00B223C7"/>
    <w:rsid w:val="00B5007A"/>
    <w:rsid w:val="00CF7757"/>
    <w:rsid w:val="00D22961"/>
    <w:rsid w:val="00D84F0C"/>
    <w:rsid w:val="00DE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46F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3646F9"/>
    <w:rPr>
      <w:rFonts w:ascii="Times New Roman" w:eastAsia="Times New Roman" w:hAnsi="Times New Roman" w:cs="Times New Roman"/>
      <w:sz w:val="24"/>
      <w:szCs w:val="24"/>
    </w:rPr>
  </w:style>
  <w:style w:type="paragraph" w:styleId="Footer">
    <w:name w:val="footer"/>
    <w:basedOn w:val="Normal"/>
    <w:link w:val="FooterChar"/>
    <w:uiPriority w:val="99"/>
    <w:rsid w:val="003646F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646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46F9"/>
    <w:rPr>
      <w:rFonts w:ascii="Tahoma" w:hAnsi="Tahoma" w:cs="Tahoma"/>
      <w:sz w:val="16"/>
      <w:szCs w:val="16"/>
    </w:rPr>
  </w:style>
  <w:style w:type="paragraph" w:styleId="NormalWeb">
    <w:name w:val="Normal (Web)"/>
    <w:basedOn w:val="Normal"/>
    <w:uiPriority w:val="99"/>
    <w:semiHidden/>
    <w:unhideWhenUsed/>
    <w:rsid w:val="00D84F0C"/>
    <w:rPr>
      <w:rFonts w:ascii="Times New Roman" w:hAnsi="Times New Roman"/>
      <w:sz w:val="24"/>
      <w:szCs w:val="24"/>
    </w:rPr>
  </w:style>
  <w:style w:type="character" w:styleId="Hyperlink">
    <w:name w:val="Hyperlink"/>
    <w:uiPriority w:val="99"/>
    <w:unhideWhenUsed/>
    <w:rsid w:val="00873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46F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3646F9"/>
    <w:rPr>
      <w:rFonts w:ascii="Times New Roman" w:eastAsia="Times New Roman" w:hAnsi="Times New Roman" w:cs="Times New Roman"/>
      <w:sz w:val="24"/>
      <w:szCs w:val="24"/>
    </w:rPr>
  </w:style>
  <w:style w:type="paragraph" w:styleId="Footer">
    <w:name w:val="footer"/>
    <w:basedOn w:val="Normal"/>
    <w:link w:val="FooterChar"/>
    <w:uiPriority w:val="99"/>
    <w:rsid w:val="003646F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646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46F9"/>
    <w:rPr>
      <w:rFonts w:ascii="Tahoma" w:hAnsi="Tahoma" w:cs="Tahoma"/>
      <w:sz w:val="16"/>
      <w:szCs w:val="16"/>
    </w:rPr>
  </w:style>
  <w:style w:type="paragraph" w:styleId="NormalWeb">
    <w:name w:val="Normal (Web)"/>
    <w:basedOn w:val="Normal"/>
    <w:uiPriority w:val="99"/>
    <w:semiHidden/>
    <w:unhideWhenUsed/>
    <w:rsid w:val="00D84F0C"/>
    <w:rPr>
      <w:rFonts w:ascii="Times New Roman" w:hAnsi="Times New Roman"/>
      <w:sz w:val="24"/>
      <w:szCs w:val="24"/>
    </w:rPr>
  </w:style>
  <w:style w:type="character" w:styleId="Hyperlink">
    <w:name w:val="Hyperlink"/>
    <w:uiPriority w:val="99"/>
    <w:unhideWhenUsed/>
    <w:rsid w:val="0087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0464">
      <w:bodyDiv w:val="1"/>
      <w:marLeft w:val="0"/>
      <w:marRight w:val="0"/>
      <w:marTop w:val="0"/>
      <w:marBottom w:val="0"/>
      <w:divBdr>
        <w:top w:val="none" w:sz="0" w:space="0" w:color="auto"/>
        <w:left w:val="none" w:sz="0" w:space="0" w:color="auto"/>
        <w:bottom w:val="none" w:sz="0" w:space="0" w:color="auto"/>
        <w:right w:val="none" w:sz="0" w:space="0" w:color="auto"/>
      </w:divBdr>
    </w:div>
    <w:div w:id="477311406">
      <w:bodyDiv w:val="1"/>
      <w:marLeft w:val="0"/>
      <w:marRight w:val="0"/>
      <w:marTop w:val="0"/>
      <w:marBottom w:val="0"/>
      <w:divBdr>
        <w:top w:val="none" w:sz="0" w:space="0" w:color="auto"/>
        <w:left w:val="none" w:sz="0" w:space="0" w:color="auto"/>
        <w:bottom w:val="none" w:sz="0" w:space="0" w:color="auto"/>
        <w:right w:val="none" w:sz="0" w:space="0" w:color="auto"/>
      </w:divBdr>
    </w:div>
    <w:div w:id="1203906143">
      <w:bodyDiv w:val="1"/>
      <w:marLeft w:val="0"/>
      <w:marRight w:val="0"/>
      <w:marTop w:val="0"/>
      <w:marBottom w:val="0"/>
      <w:divBdr>
        <w:top w:val="none" w:sz="0" w:space="0" w:color="auto"/>
        <w:left w:val="none" w:sz="0" w:space="0" w:color="auto"/>
        <w:bottom w:val="none" w:sz="0" w:space="0" w:color="auto"/>
        <w:right w:val="none" w:sz="0" w:space="0" w:color="auto"/>
      </w:divBdr>
    </w:div>
    <w:div w:id="1896891810">
      <w:bodyDiv w:val="1"/>
      <w:marLeft w:val="0"/>
      <w:marRight w:val="0"/>
      <w:marTop w:val="0"/>
      <w:marBottom w:val="0"/>
      <w:divBdr>
        <w:top w:val="none" w:sz="0" w:space="0" w:color="auto"/>
        <w:left w:val="none" w:sz="0" w:space="0" w:color="auto"/>
        <w:bottom w:val="none" w:sz="0" w:space="0" w:color="auto"/>
        <w:right w:val="none" w:sz="0" w:space="0" w:color="auto"/>
      </w:divBdr>
      <w:divsChild>
        <w:div w:id="412239591">
          <w:marLeft w:val="720"/>
          <w:marRight w:val="0"/>
          <w:marTop w:val="0"/>
          <w:marBottom w:val="0"/>
          <w:divBdr>
            <w:top w:val="none" w:sz="0" w:space="0" w:color="auto"/>
            <w:left w:val="none" w:sz="0" w:space="0" w:color="auto"/>
            <w:bottom w:val="none" w:sz="0" w:space="0" w:color="auto"/>
            <w:right w:val="none" w:sz="0" w:space="0" w:color="auto"/>
          </w:divBdr>
        </w:div>
        <w:div w:id="41871919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Links>
    <vt:vector size="6" baseType="variant">
      <vt:variant>
        <vt:i4>4980814</vt:i4>
      </vt:variant>
      <vt:variant>
        <vt:i4>0</vt:i4>
      </vt:variant>
      <vt:variant>
        <vt:i4>0</vt:i4>
      </vt:variant>
      <vt:variant>
        <vt:i4>5</vt:i4>
      </vt:variant>
      <vt:variant>
        <vt:lpwstr>http://www.cwwa.org/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dc:creator>
  <cp:lastModifiedBy>Gara</cp:lastModifiedBy>
  <cp:revision>2</cp:revision>
  <dcterms:created xsi:type="dcterms:W3CDTF">2013-04-03T12:45:00Z</dcterms:created>
  <dcterms:modified xsi:type="dcterms:W3CDTF">2013-04-03T12:45:00Z</dcterms:modified>
</cp:coreProperties>
</file>